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4F058" w14:textId="0B14B9CB" w:rsidR="00F51CE4" w:rsidRPr="00E93DF4" w:rsidRDefault="00F51CE4" w:rsidP="00F5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8" w:lineRule="auto"/>
        <w:jc w:val="center"/>
        <w:rPr>
          <w:rFonts w:cs="Tahoma"/>
          <w:b/>
          <w:bCs/>
          <w:iCs/>
          <w:sz w:val="26"/>
          <w:szCs w:val="26"/>
          <w:lang w:val="fr-FR"/>
        </w:rPr>
      </w:pPr>
      <w:r w:rsidRPr="00E93DF4">
        <w:rPr>
          <w:rFonts w:cs="Tahoma"/>
          <w:b/>
          <w:bCs/>
          <w:iCs/>
          <w:sz w:val="26"/>
          <w:szCs w:val="26"/>
          <w:lang w:val="fr-FR"/>
        </w:rPr>
        <w:t>MODALITES D</w:t>
      </w:r>
      <w:r w:rsidR="0037460F">
        <w:rPr>
          <w:rFonts w:cs="Tahoma"/>
          <w:b/>
          <w:bCs/>
          <w:iCs/>
          <w:sz w:val="26"/>
          <w:szCs w:val="26"/>
          <w:lang w:val="fr-FR"/>
        </w:rPr>
        <w:t>E PROLONGATION DE LABELLISATION DES DISPOSITIFS SPECIFIQUES REGIONAUX DU CANCER (DSRC)</w:t>
      </w:r>
    </w:p>
    <w:p w14:paraId="69FFA02D" w14:textId="4186092A" w:rsidR="0037460F" w:rsidRDefault="0037460F" w:rsidP="0037460F">
      <w:pPr>
        <w:tabs>
          <w:tab w:val="left" w:pos="5103"/>
        </w:tabs>
        <w:spacing w:after="0" w:line="288" w:lineRule="auto"/>
        <w:rPr>
          <w:rFonts w:cs="Tahoma"/>
          <w:sz w:val="24"/>
          <w:szCs w:val="24"/>
          <w:lang w:val="fr-FR"/>
        </w:rPr>
      </w:pPr>
    </w:p>
    <w:p w14:paraId="4E1A557E" w14:textId="3BE2DD07" w:rsidR="0037460F" w:rsidRDefault="0037460F" w:rsidP="00CA52E3">
      <w:pPr>
        <w:pStyle w:val="Paragraphedeliste"/>
        <w:numPr>
          <w:ilvl w:val="0"/>
          <w:numId w:val="6"/>
        </w:numPr>
        <w:tabs>
          <w:tab w:val="left" w:pos="5103"/>
        </w:tabs>
        <w:spacing w:after="0" w:line="288" w:lineRule="auto"/>
        <w:ind w:left="0" w:hanging="284"/>
        <w:rPr>
          <w:rFonts w:cs="Tahoma"/>
          <w:b/>
          <w:bCs w:val="0"/>
          <w:sz w:val="24"/>
          <w:szCs w:val="24"/>
          <w:u w:val="single"/>
        </w:rPr>
      </w:pPr>
      <w:r w:rsidRPr="0037460F">
        <w:rPr>
          <w:rFonts w:cs="Tahoma"/>
          <w:b/>
          <w:bCs w:val="0"/>
          <w:sz w:val="24"/>
          <w:szCs w:val="24"/>
          <w:u w:val="single"/>
        </w:rPr>
        <w:t>CONTEXTE</w:t>
      </w:r>
    </w:p>
    <w:p w14:paraId="09463109" w14:textId="77777777" w:rsidR="0037460F" w:rsidRPr="0037460F" w:rsidRDefault="0037460F" w:rsidP="00CA52E3">
      <w:pPr>
        <w:pStyle w:val="Paragraphedeliste"/>
        <w:numPr>
          <w:ilvl w:val="0"/>
          <w:numId w:val="0"/>
        </w:numPr>
        <w:tabs>
          <w:tab w:val="left" w:pos="5103"/>
        </w:tabs>
        <w:spacing w:after="0" w:line="276" w:lineRule="auto"/>
        <w:rPr>
          <w:rFonts w:cs="Tahoma"/>
          <w:b/>
          <w:bCs w:val="0"/>
          <w:sz w:val="24"/>
          <w:szCs w:val="24"/>
          <w:u w:val="single"/>
        </w:rPr>
      </w:pPr>
    </w:p>
    <w:p w14:paraId="4150A3D1" w14:textId="49334326" w:rsidR="0037460F" w:rsidRDefault="0037460F" w:rsidP="00CA52E3">
      <w:pPr>
        <w:pStyle w:val="Paragraphedeliste"/>
        <w:widowControl/>
        <w:numPr>
          <w:ilvl w:val="0"/>
          <w:numId w:val="0"/>
        </w:numPr>
        <w:tabs>
          <w:tab w:val="left" w:pos="5103"/>
        </w:tabs>
        <w:spacing w:after="0" w:line="276" w:lineRule="auto"/>
        <w:contextualSpacing w:val="0"/>
        <w:rPr>
          <w:rFonts w:eastAsiaTheme="minorHAnsi" w:cs="Tahoma"/>
          <w:bCs w:val="0"/>
          <w:color w:val="auto"/>
          <w:sz w:val="24"/>
          <w:szCs w:val="24"/>
          <w:lang w:eastAsia="en-US"/>
        </w:rPr>
      </w:pP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Pour répondre à l'impératif de coordination des acteurs dans la prise en charge des patients atteints de cancer, le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s</w:t>
      </w:r>
      <w:r w:rsidRPr="0037460F">
        <w:rPr>
          <w:rFonts w:ascii="Cambria Math" w:eastAsiaTheme="minorHAnsi" w:hAnsi="Cambria Math" w:cs="Cambria Math"/>
          <w:bCs w:val="0"/>
          <w:color w:val="auto"/>
          <w:sz w:val="24"/>
          <w:szCs w:val="24"/>
          <w:lang w:eastAsia="en-US"/>
        </w:rPr>
        <w:t> 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dispositif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s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sp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cifique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s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r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giona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ux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du cancer (anciennement appelé</w:t>
      </w:r>
      <w:r w:rsidR="008A7E6A">
        <w:rPr>
          <w:rFonts w:eastAsiaTheme="minorHAnsi" w:cs="Tahoma"/>
          <w:bCs w:val="0"/>
          <w:color w:val="auto"/>
          <w:sz w:val="24"/>
          <w:szCs w:val="24"/>
          <w:lang w:eastAsia="en-US"/>
        </w:rPr>
        <w:t>s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réseau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x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régiona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ux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de cancérologie ou RRC)</w:t>
      </w:r>
      <w:r w:rsidRPr="0037460F">
        <w:rPr>
          <w:rFonts w:ascii="Cambria Math" w:eastAsiaTheme="minorHAnsi" w:hAnsi="Cambria Math" w:cs="Cambria Math"/>
          <w:bCs w:val="0"/>
          <w:color w:val="auto"/>
          <w:sz w:val="24"/>
          <w:szCs w:val="24"/>
          <w:lang w:eastAsia="en-US"/>
        </w:rPr>
        <w:t> 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sont des opérateurs des agences régionales de santé qui contribuent 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à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la coordination et 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à l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’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expertise des soins en canc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rologie aupr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è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s des 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tablissements et des professionnels de sant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. Il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s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constitue</w:t>
      </w:r>
      <w:r>
        <w:rPr>
          <w:rFonts w:eastAsiaTheme="minorHAnsi" w:cs="Tahoma"/>
          <w:bCs w:val="0"/>
          <w:color w:val="auto"/>
          <w:sz w:val="24"/>
          <w:szCs w:val="24"/>
          <w:lang w:eastAsia="en-US"/>
        </w:rPr>
        <w:t>nt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également</w:t>
      </w:r>
      <w:r w:rsidRPr="0037460F">
        <w:rPr>
          <w:rFonts w:ascii="Cambria Math" w:eastAsiaTheme="minorHAnsi" w:hAnsi="Cambria Math" w:cs="Cambria Math"/>
          <w:bCs w:val="0"/>
          <w:color w:val="auto"/>
          <w:sz w:val="24"/>
          <w:szCs w:val="24"/>
          <w:lang w:eastAsia="en-US"/>
        </w:rPr>
        <w:t> 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un appui renforc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 xml:space="preserve"> dans les champs de la canc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rologie p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diatrique et des adolescents-jeunes adultes (AJA) atteints de cancer, ainsi qu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’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en oncog</w:t>
      </w:r>
      <w:r w:rsidRPr="0037460F">
        <w:rPr>
          <w:rFonts w:eastAsiaTheme="minorHAnsi" w:cs="Marianne"/>
          <w:bCs w:val="0"/>
          <w:color w:val="auto"/>
          <w:sz w:val="24"/>
          <w:szCs w:val="24"/>
          <w:lang w:eastAsia="en-US"/>
        </w:rPr>
        <w:t>é</w:t>
      </w:r>
      <w:r w:rsidRPr="0037460F">
        <w:rPr>
          <w:rFonts w:eastAsiaTheme="minorHAnsi" w:cs="Tahoma"/>
          <w:bCs w:val="0"/>
          <w:color w:val="auto"/>
          <w:sz w:val="24"/>
          <w:szCs w:val="24"/>
          <w:lang w:eastAsia="en-US"/>
        </w:rPr>
        <w:t>riatrie.</w:t>
      </w:r>
    </w:p>
    <w:p w14:paraId="5209DD3B" w14:textId="77777777" w:rsidR="0037460F" w:rsidRPr="008A7E6A" w:rsidRDefault="0037460F" w:rsidP="00CA52E3">
      <w:pPr>
        <w:tabs>
          <w:tab w:val="left" w:pos="5103"/>
        </w:tabs>
        <w:spacing w:after="0" w:line="276" w:lineRule="auto"/>
        <w:rPr>
          <w:rFonts w:cs="Tahoma"/>
          <w:iCs/>
          <w:sz w:val="24"/>
          <w:szCs w:val="24"/>
          <w:lang w:val="fr-FR"/>
        </w:rPr>
      </w:pPr>
    </w:p>
    <w:p w14:paraId="28719CD8" w14:textId="231E287B" w:rsidR="0037460F" w:rsidRPr="0037460F" w:rsidRDefault="0037460F" w:rsidP="00CA52E3">
      <w:pPr>
        <w:tabs>
          <w:tab w:val="left" w:pos="5103"/>
        </w:tabs>
        <w:spacing w:after="0" w:line="276" w:lineRule="auto"/>
        <w:rPr>
          <w:rFonts w:cs="Tahoma"/>
          <w:iCs/>
          <w:sz w:val="24"/>
          <w:szCs w:val="24"/>
          <w:lang w:val="fr-FR"/>
        </w:rPr>
      </w:pPr>
      <w:r w:rsidRPr="0037460F">
        <w:rPr>
          <w:rFonts w:cs="Tahoma"/>
          <w:iCs/>
          <w:sz w:val="24"/>
          <w:szCs w:val="24"/>
          <w:lang w:val="fr-FR"/>
        </w:rPr>
        <w:t xml:space="preserve">L’Institut national du cancer labellise historiquement les dispositifs spécifiques régionaux du cancer (DSRC), pour permettre le développement d’un cadre national homogène de la coordination en cancérologie. La labellisation des </w:t>
      </w:r>
      <w:r>
        <w:rPr>
          <w:rFonts w:cs="Tahoma"/>
          <w:iCs/>
          <w:sz w:val="24"/>
          <w:szCs w:val="24"/>
          <w:lang w:val="fr-FR"/>
        </w:rPr>
        <w:t xml:space="preserve">16 </w:t>
      </w:r>
      <w:r w:rsidRPr="0037460F">
        <w:rPr>
          <w:rFonts w:cs="Tahoma"/>
          <w:iCs/>
          <w:sz w:val="24"/>
          <w:szCs w:val="24"/>
          <w:lang w:val="fr-FR"/>
        </w:rPr>
        <w:t xml:space="preserve">DSRC </w:t>
      </w:r>
      <w:r w:rsidR="00CA52E3">
        <w:rPr>
          <w:rFonts w:cs="Tahoma"/>
          <w:iCs/>
          <w:sz w:val="24"/>
          <w:szCs w:val="24"/>
          <w:lang w:val="fr-FR"/>
        </w:rPr>
        <w:t xml:space="preserve">qui a eu lieu </w:t>
      </w:r>
      <w:r>
        <w:rPr>
          <w:rFonts w:cs="Tahoma"/>
          <w:iCs/>
          <w:sz w:val="24"/>
          <w:szCs w:val="24"/>
          <w:lang w:val="fr-FR"/>
        </w:rPr>
        <w:t xml:space="preserve">en 2021 </w:t>
      </w:r>
      <w:r w:rsidRPr="0037460F">
        <w:rPr>
          <w:rFonts w:cs="Tahoma"/>
          <w:iCs/>
          <w:sz w:val="24"/>
          <w:szCs w:val="24"/>
          <w:lang w:val="fr-FR"/>
        </w:rPr>
        <w:t xml:space="preserve">arrive à échéance le 31 décembre 2026. </w:t>
      </w:r>
    </w:p>
    <w:p w14:paraId="53983FED" w14:textId="77777777" w:rsidR="0037460F" w:rsidRPr="00CA52E3" w:rsidRDefault="0037460F" w:rsidP="00CA52E3">
      <w:pPr>
        <w:tabs>
          <w:tab w:val="left" w:pos="5103"/>
        </w:tabs>
        <w:spacing w:after="0" w:line="276" w:lineRule="auto"/>
        <w:rPr>
          <w:rFonts w:cs="Tahoma"/>
          <w:iCs/>
          <w:sz w:val="24"/>
          <w:szCs w:val="24"/>
          <w:lang w:val="fr-FR"/>
        </w:rPr>
      </w:pPr>
    </w:p>
    <w:p w14:paraId="299AD10E" w14:textId="3C8E65FD" w:rsidR="0037460F" w:rsidRPr="0037460F" w:rsidRDefault="0037460F" w:rsidP="00CA52E3">
      <w:pPr>
        <w:tabs>
          <w:tab w:val="left" w:pos="5103"/>
        </w:tabs>
        <w:spacing w:after="0" w:line="276" w:lineRule="auto"/>
        <w:rPr>
          <w:rFonts w:cs="Tahoma"/>
          <w:iCs/>
          <w:sz w:val="24"/>
          <w:szCs w:val="24"/>
          <w:lang w:val="fr-FR"/>
        </w:rPr>
      </w:pPr>
      <w:r w:rsidRPr="0037460F">
        <w:rPr>
          <w:rFonts w:cs="Tahoma"/>
          <w:iCs/>
          <w:sz w:val="24"/>
          <w:szCs w:val="24"/>
          <w:lang w:val="fr-FR"/>
        </w:rPr>
        <w:t xml:space="preserve">Par ailleurs, une action de la deuxième feuille de route 2026-2030 de la stratégie décennale de lutte contre les cancers concerne la mise en œuvre d’une réflexion relative à l’évolution des organisations régionales de coordination en cancérologie, à laquelle les DSRC et les </w:t>
      </w:r>
      <w:r>
        <w:rPr>
          <w:rFonts w:cs="Tahoma"/>
          <w:iCs/>
          <w:sz w:val="24"/>
          <w:szCs w:val="24"/>
          <w:lang w:val="fr-FR"/>
        </w:rPr>
        <w:t xml:space="preserve">ARS </w:t>
      </w:r>
      <w:r w:rsidRPr="0037460F">
        <w:rPr>
          <w:rFonts w:cs="Tahoma"/>
          <w:iCs/>
          <w:sz w:val="24"/>
          <w:szCs w:val="24"/>
          <w:lang w:val="fr-FR"/>
        </w:rPr>
        <w:t>seront étroitement associés.</w:t>
      </w:r>
    </w:p>
    <w:p w14:paraId="42C479A0" w14:textId="067ACF1D" w:rsidR="0037460F" w:rsidRDefault="0037460F" w:rsidP="0037460F">
      <w:pPr>
        <w:pStyle w:val="Paragraphedeliste"/>
        <w:widowControl/>
        <w:numPr>
          <w:ilvl w:val="0"/>
          <w:numId w:val="0"/>
        </w:numPr>
        <w:tabs>
          <w:tab w:val="left" w:pos="5103"/>
        </w:tabs>
        <w:spacing w:after="0" w:line="288" w:lineRule="auto"/>
        <w:contextualSpacing w:val="0"/>
        <w:rPr>
          <w:rFonts w:eastAsiaTheme="minorHAnsi" w:cs="Tahoma"/>
          <w:bCs w:val="0"/>
          <w:color w:val="auto"/>
          <w:sz w:val="24"/>
          <w:szCs w:val="24"/>
          <w:lang w:eastAsia="en-US"/>
        </w:rPr>
      </w:pPr>
    </w:p>
    <w:p w14:paraId="351D7292" w14:textId="04D81173" w:rsidR="00843CC2" w:rsidRDefault="00843CC2" w:rsidP="00CA52E3">
      <w:pPr>
        <w:pStyle w:val="Paragraphedeliste"/>
        <w:numPr>
          <w:ilvl w:val="0"/>
          <w:numId w:val="6"/>
        </w:numPr>
        <w:spacing w:after="0"/>
        <w:ind w:left="0" w:hanging="284"/>
        <w:rPr>
          <w:b/>
          <w:bCs w:val="0"/>
          <w:sz w:val="24"/>
          <w:szCs w:val="24"/>
          <w:u w:val="single"/>
        </w:rPr>
      </w:pPr>
      <w:r w:rsidRPr="00843CC2">
        <w:rPr>
          <w:b/>
          <w:bCs w:val="0"/>
          <w:sz w:val="24"/>
          <w:szCs w:val="24"/>
          <w:u w:val="single"/>
        </w:rPr>
        <w:t>PROLONGATION EXCEPTIONNELLE DE LABELLISATION POUR 3 ANS</w:t>
      </w:r>
    </w:p>
    <w:p w14:paraId="70222D7C" w14:textId="77777777" w:rsidR="00843CC2" w:rsidRPr="00843CC2" w:rsidRDefault="00843CC2" w:rsidP="00CA52E3">
      <w:pPr>
        <w:pStyle w:val="Paragraphedeliste"/>
        <w:numPr>
          <w:ilvl w:val="0"/>
          <w:numId w:val="0"/>
        </w:numPr>
        <w:spacing w:after="0"/>
        <w:rPr>
          <w:b/>
          <w:bCs w:val="0"/>
          <w:sz w:val="24"/>
          <w:szCs w:val="24"/>
          <w:u w:val="single"/>
        </w:rPr>
      </w:pPr>
    </w:p>
    <w:p w14:paraId="3292D718" w14:textId="1855E0B5" w:rsidR="0011763A" w:rsidRDefault="00CA52E3" w:rsidP="00CA52E3">
      <w:pPr>
        <w:spacing w:line="276" w:lineRule="auto"/>
        <w:rPr>
          <w:iCs/>
          <w:sz w:val="24"/>
          <w:szCs w:val="24"/>
          <w:lang w:val="fr-FR"/>
        </w:rPr>
      </w:pPr>
      <w:r>
        <w:rPr>
          <w:iCs/>
          <w:sz w:val="24"/>
          <w:szCs w:val="24"/>
          <w:lang w:val="fr-FR"/>
        </w:rPr>
        <w:t>Dans</w:t>
      </w:r>
      <w:r w:rsidR="00843CC2">
        <w:rPr>
          <w:iCs/>
          <w:sz w:val="24"/>
          <w:szCs w:val="24"/>
          <w:lang w:val="fr-FR"/>
        </w:rPr>
        <w:t xml:space="preserve"> ce</w:t>
      </w:r>
      <w:r w:rsidR="00843CC2" w:rsidRPr="00843CC2">
        <w:rPr>
          <w:iCs/>
          <w:sz w:val="24"/>
          <w:szCs w:val="24"/>
          <w:lang w:val="fr-FR"/>
        </w:rPr>
        <w:t xml:space="preserve"> contexte,</w:t>
      </w:r>
      <w:r w:rsidR="0011763A">
        <w:rPr>
          <w:iCs/>
          <w:sz w:val="24"/>
          <w:szCs w:val="24"/>
          <w:lang w:val="fr-FR"/>
        </w:rPr>
        <w:t xml:space="preserve"> l’Institut national du cancer ne va</w:t>
      </w:r>
      <w:r w:rsidR="0011763A" w:rsidRPr="0011763A">
        <w:rPr>
          <w:iCs/>
          <w:sz w:val="24"/>
          <w:szCs w:val="24"/>
          <w:lang w:val="fr-FR"/>
        </w:rPr>
        <w:t xml:space="preserve"> pas réorganiser d’appel à candidatures en vue de relabelliser les DSRC d’ici la fin d’année. </w:t>
      </w:r>
      <w:r w:rsidR="0011763A">
        <w:rPr>
          <w:iCs/>
          <w:sz w:val="24"/>
          <w:szCs w:val="24"/>
          <w:lang w:val="fr-FR"/>
        </w:rPr>
        <w:t>En effet,</w:t>
      </w:r>
      <w:r w:rsidR="0011763A" w:rsidRPr="0011763A">
        <w:rPr>
          <w:iCs/>
          <w:sz w:val="24"/>
          <w:szCs w:val="24"/>
          <w:lang w:val="fr-FR"/>
        </w:rPr>
        <w:t xml:space="preserve"> après analyse et validation d’un dossier de demande de prolongation de labellisation que chaque DSRC aura complété et renvoyé </w:t>
      </w:r>
      <w:r w:rsidR="0011763A">
        <w:rPr>
          <w:iCs/>
          <w:sz w:val="24"/>
          <w:szCs w:val="24"/>
          <w:lang w:val="fr-FR"/>
        </w:rPr>
        <w:t>aux services compétents de l’Institut</w:t>
      </w:r>
      <w:r w:rsidR="0011763A" w:rsidRPr="0011763A">
        <w:rPr>
          <w:iCs/>
          <w:sz w:val="24"/>
          <w:szCs w:val="24"/>
          <w:lang w:val="fr-FR"/>
        </w:rPr>
        <w:t>,</w:t>
      </w:r>
      <w:r w:rsidR="0011763A">
        <w:rPr>
          <w:iCs/>
          <w:sz w:val="24"/>
          <w:szCs w:val="24"/>
          <w:lang w:val="fr-FR"/>
        </w:rPr>
        <w:t xml:space="preserve"> les labellisations en cours seront</w:t>
      </w:r>
      <w:r w:rsidR="0011763A" w:rsidRPr="0011763A">
        <w:rPr>
          <w:iCs/>
          <w:sz w:val="24"/>
          <w:szCs w:val="24"/>
          <w:lang w:val="fr-FR"/>
        </w:rPr>
        <w:t xml:space="preserve"> </w:t>
      </w:r>
      <w:r w:rsidR="0011763A">
        <w:rPr>
          <w:iCs/>
          <w:sz w:val="24"/>
          <w:szCs w:val="24"/>
          <w:lang w:val="fr-FR"/>
        </w:rPr>
        <w:t>prolongées</w:t>
      </w:r>
      <w:r w:rsidR="0011763A" w:rsidRPr="0011763A">
        <w:rPr>
          <w:iCs/>
          <w:sz w:val="24"/>
          <w:szCs w:val="24"/>
          <w:lang w:val="fr-FR"/>
        </w:rPr>
        <w:t xml:space="preserve"> jusqu’au 31 décembre 2029</w:t>
      </w:r>
      <w:r w:rsidR="0011763A">
        <w:rPr>
          <w:iCs/>
          <w:sz w:val="24"/>
          <w:szCs w:val="24"/>
          <w:lang w:val="fr-FR"/>
        </w:rPr>
        <w:t>.</w:t>
      </w:r>
    </w:p>
    <w:p w14:paraId="7C3ADBC2" w14:textId="1ADB4286" w:rsidR="00843CC2" w:rsidRDefault="00843CC2" w:rsidP="00CA52E3">
      <w:pPr>
        <w:spacing w:line="276" w:lineRule="auto"/>
        <w:rPr>
          <w:iCs/>
          <w:sz w:val="24"/>
          <w:szCs w:val="24"/>
          <w:lang w:val="fr-FR"/>
        </w:rPr>
      </w:pPr>
      <w:r w:rsidRPr="00843CC2">
        <w:rPr>
          <w:iCs/>
          <w:sz w:val="24"/>
          <w:szCs w:val="24"/>
          <w:lang w:val="fr-FR"/>
        </w:rPr>
        <w:lastRenderedPageBreak/>
        <w:t>Pendant cette période, les équipes de l’Institut auront le temps – en partenariat avec l</w:t>
      </w:r>
      <w:r>
        <w:rPr>
          <w:iCs/>
          <w:sz w:val="24"/>
          <w:szCs w:val="24"/>
          <w:lang w:val="fr-FR"/>
        </w:rPr>
        <w:t>’ensemble d</w:t>
      </w:r>
      <w:r w:rsidRPr="00843CC2">
        <w:rPr>
          <w:iCs/>
          <w:sz w:val="24"/>
          <w:szCs w:val="24"/>
          <w:lang w:val="fr-FR"/>
        </w:rPr>
        <w:t>es autres acteurs concernés - d’amorcer et de finaliser les travaux au sujet de la réorganisation des missions de coordination régionale en cancérologie.</w:t>
      </w:r>
    </w:p>
    <w:p w14:paraId="19517C19" w14:textId="667A16D8" w:rsidR="00F51CE4" w:rsidRDefault="00843CC2" w:rsidP="0011763A">
      <w:pPr>
        <w:pStyle w:val="Titre1"/>
        <w:numPr>
          <w:ilvl w:val="0"/>
          <w:numId w:val="6"/>
        </w:numPr>
        <w:spacing w:line="276" w:lineRule="auto"/>
        <w:ind w:left="0" w:hanging="426"/>
        <w:rPr>
          <w:rFonts w:cs="Tahoma"/>
          <w:b/>
          <w:color w:val="auto"/>
          <w:sz w:val="24"/>
          <w:szCs w:val="24"/>
          <w:u w:val="single"/>
        </w:rPr>
      </w:pPr>
      <w:r w:rsidRPr="00843CC2">
        <w:rPr>
          <w:rFonts w:cs="Tahoma"/>
          <w:b/>
          <w:color w:val="auto"/>
          <w:sz w:val="24"/>
          <w:szCs w:val="24"/>
          <w:u w:val="single"/>
        </w:rPr>
        <w:t>PROCEDURE DE DEMANDE DE PROLONGATION DE LA LABELLISATION</w:t>
      </w:r>
    </w:p>
    <w:p w14:paraId="74CB4DFB" w14:textId="77777777" w:rsidR="00843CC2" w:rsidRPr="00843CC2" w:rsidRDefault="00843CC2" w:rsidP="00CA52E3">
      <w:pPr>
        <w:spacing w:line="276" w:lineRule="auto"/>
        <w:rPr>
          <w:lang w:val="fr-FR" w:eastAsia="fr-FR"/>
        </w:rPr>
      </w:pPr>
    </w:p>
    <w:p w14:paraId="66128A18" w14:textId="6AD3D285" w:rsidR="00F51CE4" w:rsidRDefault="00F51CE4" w:rsidP="00CA52E3">
      <w:pPr>
        <w:tabs>
          <w:tab w:val="left" w:pos="5103"/>
        </w:tabs>
        <w:spacing w:line="276" w:lineRule="auto"/>
        <w:rPr>
          <w:rFonts w:cs="Tahoma"/>
          <w:sz w:val="24"/>
          <w:szCs w:val="24"/>
          <w:lang w:val="fr-FR"/>
        </w:rPr>
      </w:pPr>
      <w:r w:rsidRPr="00E93DF4">
        <w:rPr>
          <w:rFonts w:cs="Tahoma"/>
          <w:sz w:val="24"/>
          <w:szCs w:val="24"/>
          <w:lang w:val="fr-FR"/>
        </w:rPr>
        <w:t xml:space="preserve">Les </w:t>
      </w:r>
      <w:r w:rsidR="00843CC2">
        <w:rPr>
          <w:rFonts w:cs="Tahoma"/>
          <w:sz w:val="24"/>
          <w:szCs w:val="24"/>
          <w:lang w:val="fr-FR"/>
        </w:rPr>
        <w:t>dispositifs spécifiques régionaux du cancer doivent</w:t>
      </w:r>
      <w:r w:rsidRPr="00E93DF4">
        <w:rPr>
          <w:rFonts w:cs="Tahoma"/>
          <w:sz w:val="24"/>
          <w:szCs w:val="24"/>
          <w:lang w:val="fr-FR"/>
        </w:rPr>
        <w:t xml:space="preserve"> adresser à l’Institut une demande de prolongation de labellisation selon le modèle établi par l’Institut</w:t>
      </w:r>
      <w:r>
        <w:rPr>
          <w:rFonts w:cs="Tahoma"/>
          <w:sz w:val="24"/>
          <w:szCs w:val="24"/>
          <w:lang w:val="fr-FR"/>
        </w:rPr>
        <w:t xml:space="preserve">, </w:t>
      </w:r>
      <w:r w:rsidR="0065317B">
        <w:rPr>
          <w:rFonts w:cs="Tahoma"/>
          <w:sz w:val="24"/>
          <w:szCs w:val="24"/>
          <w:lang w:val="fr-FR"/>
        </w:rPr>
        <w:t xml:space="preserve">que vous trouverez </w:t>
      </w:r>
      <w:hyperlink r:id="rId7" w:history="1">
        <w:r w:rsidR="008D570F" w:rsidRPr="008D570F">
          <w:rPr>
            <w:rStyle w:val="Lienhypertexte"/>
            <w:rFonts w:cs="Tahoma"/>
            <w:sz w:val="24"/>
            <w:szCs w:val="24"/>
            <w:lang w:val="fr-FR"/>
          </w:rPr>
          <w:t>sur ce lien</w:t>
        </w:r>
      </w:hyperlink>
      <w:r w:rsidRPr="00101DB3">
        <w:rPr>
          <w:rFonts w:cs="Tahoma"/>
          <w:sz w:val="24"/>
          <w:szCs w:val="24"/>
          <w:lang w:val="fr-FR"/>
        </w:rPr>
        <w:t>.</w:t>
      </w:r>
    </w:p>
    <w:p w14:paraId="7A5C91C2" w14:textId="740263CF" w:rsidR="00843CC2" w:rsidRPr="00CA52E3" w:rsidRDefault="00843CC2" w:rsidP="00CA52E3">
      <w:pPr>
        <w:tabs>
          <w:tab w:val="left" w:pos="5103"/>
        </w:tabs>
        <w:spacing w:line="276" w:lineRule="auto"/>
        <w:rPr>
          <w:rFonts w:cs="Tahoma"/>
          <w:sz w:val="24"/>
          <w:szCs w:val="24"/>
          <w:lang w:val="fr-FR"/>
        </w:rPr>
      </w:pPr>
      <w:r w:rsidRPr="00CA52E3">
        <w:rPr>
          <w:rFonts w:eastAsia="Times New Roman" w:cs="Times New Roman"/>
          <w:iCs/>
          <w:color w:val="000000"/>
          <w:sz w:val="24"/>
          <w:szCs w:val="24"/>
          <w:lang w:val="fr-FR" w:eastAsia="fr-FR"/>
        </w:rPr>
        <w:t xml:space="preserve">Dans le dossier de demande de prolongation, un encart est destiné à recueillir l’avis écrit </w:t>
      </w:r>
      <w:r w:rsidR="00CA52E3" w:rsidRPr="00CA52E3">
        <w:rPr>
          <w:rFonts w:eastAsia="Times New Roman" w:cs="Times New Roman"/>
          <w:iCs/>
          <w:color w:val="000000"/>
          <w:sz w:val="24"/>
          <w:szCs w:val="24"/>
          <w:lang w:val="fr-FR" w:eastAsia="fr-FR"/>
        </w:rPr>
        <w:t>de l’</w:t>
      </w:r>
      <w:r w:rsidRPr="00CA52E3">
        <w:rPr>
          <w:rFonts w:eastAsia="Times New Roman" w:cs="Times New Roman"/>
          <w:iCs/>
          <w:color w:val="000000"/>
          <w:sz w:val="24"/>
          <w:szCs w:val="24"/>
          <w:lang w:val="fr-FR" w:eastAsia="fr-FR"/>
        </w:rPr>
        <w:t xml:space="preserve">ARS </w:t>
      </w:r>
      <w:r w:rsidR="00CA52E3" w:rsidRPr="00CA52E3">
        <w:rPr>
          <w:rFonts w:eastAsia="Times New Roman" w:cs="Times New Roman"/>
          <w:iCs/>
          <w:color w:val="000000"/>
          <w:sz w:val="24"/>
          <w:szCs w:val="24"/>
          <w:lang w:val="fr-FR" w:eastAsia="fr-FR"/>
        </w:rPr>
        <w:t xml:space="preserve">concernant la démarche. Ainsi, chaque DSRC devra recueillir l’avis de son ARS avant renvoi </w:t>
      </w:r>
      <w:r w:rsidR="0011763A">
        <w:rPr>
          <w:rFonts w:eastAsia="Times New Roman" w:cs="Times New Roman"/>
          <w:iCs/>
          <w:color w:val="000000"/>
          <w:sz w:val="24"/>
          <w:szCs w:val="24"/>
          <w:lang w:val="fr-FR" w:eastAsia="fr-FR"/>
        </w:rPr>
        <w:t>du</w:t>
      </w:r>
      <w:r w:rsidR="00CA52E3" w:rsidRPr="00CA52E3">
        <w:rPr>
          <w:rFonts w:eastAsia="Times New Roman" w:cs="Times New Roman"/>
          <w:iCs/>
          <w:color w:val="000000"/>
          <w:sz w:val="24"/>
          <w:szCs w:val="24"/>
          <w:lang w:val="fr-FR" w:eastAsia="fr-FR"/>
        </w:rPr>
        <w:t xml:space="preserve"> dossier à l’Institut.</w:t>
      </w:r>
    </w:p>
    <w:p w14:paraId="7048B1B4" w14:textId="0175DEF8" w:rsidR="00F51CE4" w:rsidRPr="00E93DF4" w:rsidRDefault="00F51CE4" w:rsidP="00CA52E3">
      <w:pPr>
        <w:spacing w:line="276" w:lineRule="auto"/>
        <w:rPr>
          <w:rFonts w:cs="Tahoma"/>
          <w:sz w:val="24"/>
          <w:szCs w:val="24"/>
          <w:lang w:val="fr-FR"/>
        </w:rPr>
      </w:pPr>
      <w:r w:rsidRPr="00E93DF4">
        <w:rPr>
          <w:rFonts w:cs="Tahoma"/>
          <w:sz w:val="24"/>
          <w:szCs w:val="24"/>
          <w:lang w:val="fr-FR"/>
        </w:rPr>
        <w:t xml:space="preserve">Cette demande est </w:t>
      </w:r>
      <w:r>
        <w:rPr>
          <w:rFonts w:cs="Tahoma"/>
          <w:sz w:val="24"/>
          <w:szCs w:val="24"/>
          <w:lang w:val="fr-FR"/>
        </w:rPr>
        <w:t>à adresser</w:t>
      </w:r>
      <w:r w:rsidRPr="00E93DF4">
        <w:rPr>
          <w:rFonts w:cs="Tahoma"/>
          <w:sz w:val="24"/>
          <w:szCs w:val="24"/>
          <w:lang w:val="fr-FR"/>
        </w:rPr>
        <w:t xml:space="preserve"> </w:t>
      </w:r>
      <w:r w:rsidR="00843CC2">
        <w:rPr>
          <w:rFonts w:cs="Tahoma"/>
          <w:sz w:val="24"/>
          <w:szCs w:val="24"/>
          <w:lang w:val="fr-FR"/>
        </w:rPr>
        <w:t xml:space="preserve">avant le </w:t>
      </w:r>
      <w:r w:rsidR="00843CC2" w:rsidRPr="00843CC2">
        <w:rPr>
          <w:rFonts w:cs="Tahoma"/>
          <w:b/>
          <w:bCs/>
          <w:i/>
          <w:iCs/>
          <w:color w:val="E36C0A" w:themeColor="accent6" w:themeShade="BF"/>
          <w:sz w:val="24"/>
          <w:szCs w:val="24"/>
          <w:u w:val="single"/>
          <w:lang w:val="fr-FR"/>
        </w:rPr>
        <w:t>vendredi 4 décembre 2026 (avec reco</w:t>
      </w:r>
      <w:r w:rsidR="00CA52E3">
        <w:rPr>
          <w:rFonts w:cs="Tahoma"/>
          <w:b/>
          <w:bCs/>
          <w:i/>
          <w:iCs/>
          <w:color w:val="E36C0A" w:themeColor="accent6" w:themeShade="BF"/>
          <w:sz w:val="24"/>
          <w:szCs w:val="24"/>
          <w:u w:val="single"/>
          <w:lang w:val="fr-FR"/>
        </w:rPr>
        <w:t>mmandations</w:t>
      </w:r>
      <w:r w:rsidR="00843CC2" w:rsidRPr="00843CC2">
        <w:rPr>
          <w:rFonts w:cs="Tahoma"/>
          <w:b/>
          <w:bCs/>
          <w:i/>
          <w:iCs/>
          <w:color w:val="E36C0A" w:themeColor="accent6" w:themeShade="BF"/>
          <w:sz w:val="24"/>
          <w:szCs w:val="24"/>
          <w:u w:val="single"/>
          <w:lang w:val="fr-FR"/>
        </w:rPr>
        <w:t xml:space="preserve"> et tampon de l’ARS)</w:t>
      </w:r>
      <w:r w:rsidR="00CA52E3" w:rsidRPr="00CA52E3">
        <w:rPr>
          <w:rFonts w:cs="Tahoma"/>
          <w:b/>
          <w:bCs/>
          <w:i/>
          <w:iCs/>
          <w:color w:val="E36C0A" w:themeColor="accent6" w:themeShade="BF"/>
          <w:sz w:val="24"/>
          <w:szCs w:val="24"/>
          <w:lang w:val="fr-FR"/>
        </w:rPr>
        <w:t xml:space="preserve"> </w:t>
      </w:r>
      <w:r w:rsidRPr="00E93DF4">
        <w:rPr>
          <w:rFonts w:cs="Tahoma"/>
          <w:sz w:val="24"/>
          <w:szCs w:val="24"/>
          <w:lang w:val="fr-FR"/>
        </w:rPr>
        <w:t xml:space="preserve">par </w:t>
      </w:r>
      <w:r>
        <w:rPr>
          <w:rFonts w:cs="Tahoma"/>
          <w:sz w:val="24"/>
          <w:szCs w:val="24"/>
          <w:lang w:val="fr-FR"/>
        </w:rPr>
        <w:t>courriel (</w:t>
      </w:r>
      <w:hyperlink r:id="rId8" w:history="1">
        <w:r w:rsidRPr="00D94D0B">
          <w:rPr>
            <w:rStyle w:val="Lienhypertexte"/>
            <w:rFonts w:cs="Tahoma"/>
            <w:sz w:val="24"/>
            <w:szCs w:val="24"/>
            <w:lang w:val="fr-FR"/>
          </w:rPr>
          <w:t>lvialard@institucancer.fr</w:t>
        </w:r>
      </w:hyperlink>
      <w:r>
        <w:rPr>
          <w:rFonts w:cs="Tahoma"/>
          <w:sz w:val="24"/>
          <w:szCs w:val="24"/>
          <w:lang w:val="fr-FR"/>
        </w:rPr>
        <w:t xml:space="preserve"> et </w:t>
      </w:r>
      <w:hyperlink r:id="rId9" w:history="1">
        <w:r w:rsidRPr="004A4A1C">
          <w:rPr>
            <w:rStyle w:val="Lienhypertexte"/>
            <w:rFonts w:cs="Tahoma"/>
            <w:sz w:val="24"/>
            <w:szCs w:val="24"/>
            <w:lang w:val="fr-FR"/>
          </w:rPr>
          <w:t>aduviard@institutcancer.fr</w:t>
        </w:r>
      </w:hyperlink>
      <w:r>
        <w:rPr>
          <w:rFonts w:cs="Tahoma"/>
          <w:sz w:val="24"/>
          <w:szCs w:val="24"/>
          <w:lang w:val="fr-FR"/>
        </w:rPr>
        <w:t xml:space="preserve">) et par </w:t>
      </w:r>
      <w:r w:rsidRPr="00E93DF4">
        <w:rPr>
          <w:rFonts w:cs="Tahoma"/>
          <w:sz w:val="24"/>
          <w:szCs w:val="24"/>
          <w:lang w:val="fr-FR"/>
        </w:rPr>
        <w:t>courrier à l’adresse suivan</w:t>
      </w:r>
      <w:r>
        <w:rPr>
          <w:rFonts w:cs="Tahoma"/>
          <w:sz w:val="24"/>
          <w:szCs w:val="24"/>
          <w:lang w:val="fr-FR"/>
        </w:rPr>
        <w:t xml:space="preserve">te </w:t>
      </w:r>
      <w:r w:rsidRPr="00E93DF4">
        <w:rPr>
          <w:rFonts w:cs="Tahoma"/>
          <w:sz w:val="24"/>
          <w:szCs w:val="24"/>
          <w:lang w:val="fr-FR"/>
        </w:rPr>
        <w:t xml:space="preserve">: </w:t>
      </w:r>
    </w:p>
    <w:p w14:paraId="2FD63151" w14:textId="77777777" w:rsidR="00F51CE4" w:rsidRPr="00E93DF4" w:rsidRDefault="00F51CE4" w:rsidP="00CA52E3">
      <w:pPr>
        <w:spacing w:after="0" w:line="276" w:lineRule="auto"/>
        <w:jc w:val="center"/>
        <w:rPr>
          <w:rFonts w:cs="Tahoma"/>
          <w:sz w:val="24"/>
          <w:szCs w:val="24"/>
          <w:lang w:val="fr-FR"/>
        </w:rPr>
      </w:pPr>
      <w:r w:rsidRPr="00E93DF4">
        <w:rPr>
          <w:rFonts w:cs="Tahoma"/>
          <w:sz w:val="24"/>
          <w:szCs w:val="24"/>
          <w:lang w:val="fr-FR"/>
        </w:rPr>
        <w:t>Institut national du cancer</w:t>
      </w:r>
    </w:p>
    <w:p w14:paraId="472EABB2" w14:textId="77777777" w:rsidR="00F51CE4" w:rsidRPr="00E93DF4" w:rsidRDefault="00F51CE4" w:rsidP="00CA52E3">
      <w:pPr>
        <w:spacing w:after="0" w:line="276" w:lineRule="auto"/>
        <w:jc w:val="center"/>
        <w:rPr>
          <w:rFonts w:cs="Tahoma"/>
          <w:sz w:val="24"/>
          <w:szCs w:val="24"/>
          <w:lang w:val="fr-FR"/>
        </w:rPr>
      </w:pPr>
      <w:r w:rsidRPr="00E93DF4">
        <w:rPr>
          <w:rFonts w:cs="Tahoma"/>
          <w:sz w:val="24"/>
          <w:szCs w:val="24"/>
          <w:lang w:val="fr-FR"/>
        </w:rPr>
        <w:t>Département organisation et parcours de soins</w:t>
      </w:r>
    </w:p>
    <w:p w14:paraId="647D9923" w14:textId="77777777" w:rsidR="00F51CE4" w:rsidRPr="00E93DF4" w:rsidRDefault="00F51CE4" w:rsidP="00CA52E3">
      <w:pPr>
        <w:spacing w:after="0" w:line="276" w:lineRule="auto"/>
        <w:jc w:val="center"/>
        <w:rPr>
          <w:rFonts w:cs="Tahoma"/>
          <w:sz w:val="24"/>
          <w:szCs w:val="24"/>
          <w:lang w:val="fr-FR"/>
        </w:rPr>
      </w:pPr>
      <w:r w:rsidRPr="00E93DF4">
        <w:rPr>
          <w:rFonts w:cs="Tahoma"/>
          <w:sz w:val="24"/>
          <w:szCs w:val="24"/>
          <w:lang w:val="fr-FR"/>
        </w:rPr>
        <w:t>52, avenue André Morizet</w:t>
      </w:r>
    </w:p>
    <w:p w14:paraId="4168CCE0" w14:textId="77777777" w:rsidR="00F51CE4" w:rsidRPr="00E93DF4" w:rsidRDefault="00F51CE4" w:rsidP="00CA52E3">
      <w:pPr>
        <w:tabs>
          <w:tab w:val="left" w:pos="5103"/>
        </w:tabs>
        <w:spacing w:after="0" w:line="276" w:lineRule="auto"/>
        <w:jc w:val="center"/>
        <w:rPr>
          <w:rFonts w:cs="Tahoma"/>
          <w:sz w:val="24"/>
          <w:szCs w:val="24"/>
          <w:lang w:val="fr-FR"/>
        </w:rPr>
      </w:pPr>
      <w:r w:rsidRPr="00E93DF4">
        <w:rPr>
          <w:rFonts w:cs="Tahoma"/>
          <w:sz w:val="24"/>
          <w:szCs w:val="24"/>
          <w:lang w:val="fr-FR"/>
        </w:rPr>
        <w:t>92100 Boulogne-Billancourt cedex</w:t>
      </w:r>
    </w:p>
    <w:p w14:paraId="6C887C32" w14:textId="77777777" w:rsidR="00F51CE4" w:rsidRDefault="00F51CE4" w:rsidP="00CA52E3">
      <w:pPr>
        <w:spacing w:line="276" w:lineRule="auto"/>
        <w:rPr>
          <w:rFonts w:cs="Tahoma"/>
          <w:sz w:val="24"/>
          <w:szCs w:val="24"/>
          <w:lang w:val="fr-FR"/>
        </w:rPr>
      </w:pPr>
    </w:p>
    <w:p w14:paraId="4B118DAA" w14:textId="58C4D883" w:rsidR="00F51CE4" w:rsidRPr="00E93DF4" w:rsidRDefault="00F51CE4" w:rsidP="00CA52E3">
      <w:pPr>
        <w:spacing w:line="276" w:lineRule="auto"/>
        <w:rPr>
          <w:rFonts w:cs="Tahoma"/>
          <w:sz w:val="24"/>
          <w:szCs w:val="24"/>
          <w:lang w:val="fr-FR"/>
        </w:rPr>
      </w:pPr>
      <w:r w:rsidRPr="00E93DF4">
        <w:rPr>
          <w:rFonts w:cs="Tahoma"/>
          <w:sz w:val="24"/>
          <w:szCs w:val="24"/>
          <w:lang w:val="fr-FR"/>
        </w:rPr>
        <w:t xml:space="preserve">Après </w:t>
      </w:r>
      <w:r w:rsidR="0011763A">
        <w:rPr>
          <w:rFonts w:cs="Tahoma"/>
          <w:sz w:val="24"/>
          <w:szCs w:val="24"/>
          <w:lang w:val="fr-FR"/>
        </w:rPr>
        <w:t>analyse et validation de</w:t>
      </w:r>
      <w:r w:rsidRPr="00E93DF4">
        <w:rPr>
          <w:rFonts w:cs="Tahoma"/>
          <w:sz w:val="24"/>
          <w:szCs w:val="24"/>
          <w:lang w:val="fr-FR"/>
        </w:rPr>
        <w:t xml:space="preserve"> la demande, l’I</w:t>
      </w:r>
      <w:r>
        <w:rPr>
          <w:rFonts w:cs="Tahoma"/>
          <w:sz w:val="24"/>
          <w:szCs w:val="24"/>
          <w:lang w:val="fr-FR"/>
        </w:rPr>
        <w:t>nstitut</w:t>
      </w:r>
      <w:r w:rsidRPr="00E93DF4">
        <w:rPr>
          <w:rFonts w:cs="Tahoma"/>
          <w:sz w:val="24"/>
          <w:szCs w:val="24"/>
          <w:lang w:val="fr-FR"/>
        </w:rPr>
        <w:t xml:space="preserve"> notifie</w:t>
      </w:r>
      <w:r>
        <w:rPr>
          <w:rFonts w:cs="Tahoma"/>
          <w:sz w:val="24"/>
          <w:szCs w:val="24"/>
          <w:lang w:val="fr-FR"/>
        </w:rPr>
        <w:t>ra</w:t>
      </w:r>
      <w:r w:rsidRPr="00E93DF4">
        <w:rPr>
          <w:rFonts w:cs="Tahoma"/>
          <w:sz w:val="24"/>
          <w:szCs w:val="24"/>
          <w:lang w:val="fr-FR"/>
        </w:rPr>
        <w:t xml:space="preserve"> au </w:t>
      </w:r>
      <w:r w:rsidR="00CA52E3">
        <w:rPr>
          <w:rFonts w:cs="Tahoma"/>
          <w:sz w:val="24"/>
          <w:szCs w:val="24"/>
          <w:lang w:val="fr-FR"/>
        </w:rPr>
        <w:t>DSRC</w:t>
      </w:r>
      <w:r w:rsidRPr="00E93DF4">
        <w:rPr>
          <w:rFonts w:cs="Tahoma"/>
          <w:sz w:val="24"/>
          <w:szCs w:val="24"/>
          <w:lang w:val="fr-FR"/>
        </w:rPr>
        <w:t xml:space="preserve"> sa décision de prolonger la </w:t>
      </w:r>
      <w:r>
        <w:rPr>
          <w:rFonts w:cs="Tahoma"/>
          <w:sz w:val="24"/>
          <w:szCs w:val="24"/>
          <w:lang w:val="fr-FR"/>
        </w:rPr>
        <w:t xml:space="preserve">labellisation </w:t>
      </w:r>
      <w:r w:rsidRPr="00E93DF4">
        <w:rPr>
          <w:rFonts w:cs="Tahoma"/>
          <w:sz w:val="24"/>
          <w:szCs w:val="24"/>
          <w:lang w:val="fr-FR"/>
        </w:rPr>
        <w:t>par lettre recommandée avec accusé de réception et en informe</w:t>
      </w:r>
      <w:r>
        <w:rPr>
          <w:rFonts w:cs="Tahoma"/>
          <w:sz w:val="24"/>
          <w:szCs w:val="24"/>
          <w:lang w:val="fr-FR"/>
        </w:rPr>
        <w:t>ra</w:t>
      </w:r>
      <w:r w:rsidRPr="00E93DF4">
        <w:rPr>
          <w:rFonts w:cs="Tahoma"/>
          <w:sz w:val="24"/>
          <w:szCs w:val="24"/>
          <w:lang w:val="fr-FR"/>
        </w:rPr>
        <w:t xml:space="preserve"> la DGOS. Cette décision </w:t>
      </w:r>
      <w:r>
        <w:rPr>
          <w:rFonts w:cs="Tahoma"/>
          <w:sz w:val="24"/>
          <w:szCs w:val="24"/>
          <w:lang w:val="fr-FR"/>
        </w:rPr>
        <w:t>sera</w:t>
      </w:r>
      <w:r w:rsidRPr="00E93DF4">
        <w:rPr>
          <w:rFonts w:cs="Tahoma"/>
          <w:sz w:val="24"/>
          <w:szCs w:val="24"/>
          <w:lang w:val="fr-FR"/>
        </w:rPr>
        <w:t xml:space="preserve"> publiée sur le registre des actes administratifs de l’I</w:t>
      </w:r>
      <w:r>
        <w:rPr>
          <w:rFonts w:cs="Tahoma"/>
          <w:sz w:val="24"/>
          <w:szCs w:val="24"/>
          <w:lang w:val="fr-FR"/>
        </w:rPr>
        <w:t>nstitut</w:t>
      </w:r>
      <w:r w:rsidRPr="00E93DF4">
        <w:rPr>
          <w:rFonts w:cs="Tahoma"/>
          <w:sz w:val="24"/>
          <w:szCs w:val="24"/>
          <w:lang w:val="fr-FR"/>
        </w:rPr>
        <w:t>.</w:t>
      </w:r>
    </w:p>
    <w:p w14:paraId="7B748434" w14:textId="77777777" w:rsidR="00F51CE4" w:rsidRPr="00E93DF4" w:rsidRDefault="00F51CE4" w:rsidP="00CA52E3">
      <w:pPr>
        <w:spacing w:line="276" w:lineRule="auto"/>
        <w:rPr>
          <w:rFonts w:cs="Tahoma"/>
          <w:sz w:val="24"/>
          <w:szCs w:val="24"/>
          <w:lang w:val="fr-FR"/>
        </w:rPr>
      </w:pPr>
    </w:p>
    <w:p w14:paraId="4000A9BD" w14:textId="77777777" w:rsidR="00F51CE4" w:rsidRPr="00E93DF4" w:rsidRDefault="00F51CE4" w:rsidP="00F51CE4">
      <w:pPr>
        <w:rPr>
          <w:rFonts w:eastAsia="Times New Roman" w:cs="Times New Roman"/>
          <w:color w:val="000000"/>
          <w:sz w:val="24"/>
          <w:szCs w:val="24"/>
          <w:lang w:val="fr-FR" w:eastAsia="fr-FR"/>
        </w:rPr>
      </w:pPr>
    </w:p>
    <w:p w14:paraId="747C9265" w14:textId="77777777" w:rsidR="00F51CE4" w:rsidRDefault="00F51CE4" w:rsidP="00F51CE4">
      <w:pPr>
        <w:rPr>
          <w:rFonts w:eastAsia="Times New Roman" w:cs="Times New Roman"/>
          <w:color w:val="000000"/>
          <w:sz w:val="24"/>
          <w:szCs w:val="24"/>
          <w:lang w:val="fr-FR" w:eastAsia="fr-FR"/>
        </w:rPr>
      </w:pPr>
    </w:p>
    <w:p w14:paraId="6A092B9E" w14:textId="77777777" w:rsidR="00F51CE4" w:rsidRPr="00C10396" w:rsidRDefault="00F51CE4" w:rsidP="00F51CE4">
      <w:pPr>
        <w:rPr>
          <w:rFonts w:eastAsia="Times New Roman" w:cs="Times New Roman"/>
          <w:sz w:val="24"/>
          <w:szCs w:val="24"/>
          <w:lang w:val="fr-FR" w:eastAsia="fr-FR"/>
        </w:rPr>
      </w:pPr>
    </w:p>
    <w:p w14:paraId="7CDB4135" w14:textId="77777777" w:rsidR="00F51CE4" w:rsidRPr="00C10396" w:rsidRDefault="00F51CE4" w:rsidP="00F51CE4">
      <w:pPr>
        <w:rPr>
          <w:rFonts w:eastAsia="Times New Roman" w:cs="Times New Roman"/>
          <w:sz w:val="24"/>
          <w:szCs w:val="24"/>
          <w:lang w:val="fr-FR" w:eastAsia="fr-FR"/>
        </w:rPr>
      </w:pPr>
    </w:p>
    <w:p w14:paraId="02619547" w14:textId="77777777" w:rsidR="00F51CE4" w:rsidRPr="00C10396" w:rsidRDefault="00F51CE4" w:rsidP="00F51CE4">
      <w:pPr>
        <w:rPr>
          <w:rFonts w:eastAsia="Times New Roman" w:cs="Times New Roman"/>
          <w:sz w:val="24"/>
          <w:szCs w:val="24"/>
          <w:lang w:val="fr-FR" w:eastAsia="fr-FR"/>
        </w:rPr>
      </w:pPr>
    </w:p>
    <w:p w14:paraId="375CCDE7" w14:textId="77777777" w:rsidR="00C46C97" w:rsidRPr="00E8252E" w:rsidRDefault="00C46C97" w:rsidP="00F51CE4">
      <w:pPr>
        <w:spacing w:after="0" w:line="243" w:lineRule="exact"/>
        <w:rPr>
          <w:rFonts w:eastAsia="Times New Roman" w:cs="Times New Roman"/>
          <w:color w:val="000000"/>
          <w:szCs w:val="20"/>
          <w:lang w:val="fr-FR" w:eastAsia="fr-FR"/>
        </w:rPr>
      </w:pPr>
    </w:p>
    <w:sectPr w:rsidR="00C46C97" w:rsidRPr="00E8252E" w:rsidSect="00F30120"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964" w:right="964" w:bottom="964" w:left="964" w:header="3005" w:footer="96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46235" w14:textId="77777777" w:rsidR="00DE40FC" w:rsidRDefault="00DE40FC" w:rsidP="008D09C3">
      <w:pPr>
        <w:spacing w:after="0"/>
      </w:pPr>
      <w:r>
        <w:separator/>
      </w:r>
    </w:p>
  </w:endnote>
  <w:endnote w:type="continuationSeparator" w:id="0">
    <w:p w14:paraId="54D31503" w14:textId="77777777" w:rsidR="00DE40FC" w:rsidRDefault="00DE40FC" w:rsidP="008D09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ianne Light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arianne-Regular">
    <w:panose1 w:val="00000000000000000000"/>
    <w:charset w:val="00"/>
    <w:family w:val="auto"/>
    <w:notTrueType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46820384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68A5DD5" w14:textId="77777777" w:rsidR="008D09C3" w:rsidRDefault="008D09C3" w:rsidP="00F35B6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53E9E1B" w14:textId="77777777" w:rsidR="008D09C3" w:rsidRDefault="008D09C3" w:rsidP="008D09C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636216668"/>
      <w:docPartObj>
        <w:docPartGallery w:val="Page Numbers (Bottom of Page)"/>
        <w:docPartUnique/>
      </w:docPartObj>
    </w:sdtPr>
    <w:sdtEndPr>
      <w:rPr>
        <w:rStyle w:val="Numrodepage"/>
        <w:rFonts w:ascii="Marianne Light" w:hAnsi="Marianne Light"/>
        <w:szCs w:val="20"/>
      </w:rPr>
    </w:sdtEndPr>
    <w:sdtContent>
      <w:p w14:paraId="41229792" w14:textId="77777777" w:rsidR="008D09C3" w:rsidRPr="00A207D9" w:rsidRDefault="00A207D9" w:rsidP="00A207D9">
        <w:pPr>
          <w:pStyle w:val="Pieddepage"/>
          <w:jc w:val="center"/>
          <w:rPr>
            <w:rFonts w:ascii="Marianne Light" w:hAnsi="Marianne Light"/>
            <w:szCs w:val="20"/>
          </w:rPr>
        </w:pPr>
        <w:r w:rsidRPr="00F12356">
          <w:rPr>
            <w:rStyle w:val="Numrodepage"/>
            <w:rFonts w:ascii="Marianne Light" w:hAnsi="Marianne Light"/>
            <w:szCs w:val="20"/>
          </w:rPr>
          <w:fldChar w:fldCharType="begin"/>
        </w:r>
        <w:r w:rsidRPr="00F12356">
          <w:rPr>
            <w:rStyle w:val="Numrodepage"/>
            <w:rFonts w:ascii="Marianne Light" w:hAnsi="Marianne Light"/>
            <w:szCs w:val="20"/>
          </w:rPr>
          <w:instrText xml:space="preserve"> PAGE </w:instrText>
        </w:r>
        <w:r w:rsidRPr="00F12356">
          <w:rPr>
            <w:rStyle w:val="Numrodepage"/>
            <w:rFonts w:ascii="Marianne Light" w:hAnsi="Marianne Light"/>
            <w:szCs w:val="20"/>
          </w:rPr>
          <w:fldChar w:fldCharType="separate"/>
        </w:r>
        <w:r w:rsidR="00F30120">
          <w:rPr>
            <w:rStyle w:val="Numrodepage"/>
            <w:rFonts w:ascii="Marianne Light" w:hAnsi="Marianne Light"/>
            <w:noProof/>
            <w:szCs w:val="20"/>
          </w:rPr>
          <w:t>2</w:t>
        </w:r>
        <w:r w:rsidRPr="00F12356">
          <w:rPr>
            <w:rStyle w:val="Numrodepage"/>
            <w:rFonts w:ascii="Marianne Light" w:hAnsi="Marianne Light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029770972"/>
      <w:docPartObj>
        <w:docPartGallery w:val="Page Numbers (Bottom of Page)"/>
        <w:docPartUnique/>
      </w:docPartObj>
    </w:sdtPr>
    <w:sdtEndPr>
      <w:rPr>
        <w:rStyle w:val="Numrodepage"/>
        <w:rFonts w:ascii="Marianne Light" w:hAnsi="Marianne Light"/>
        <w:szCs w:val="20"/>
      </w:rPr>
    </w:sdtEndPr>
    <w:sdtContent>
      <w:p w14:paraId="3E051401" w14:textId="77777777" w:rsidR="00F12356" w:rsidRPr="00F12356" w:rsidRDefault="00F12356" w:rsidP="009E31AB">
        <w:pPr>
          <w:pStyle w:val="Pieddepage"/>
          <w:framePr w:wrap="none" w:vAnchor="text" w:hAnchor="margin" w:xAlign="center" w:y="1"/>
          <w:rPr>
            <w:rStyle w:val="Numrodepage"/>
            <w:rFonts w:ascii="Marianne Light" w:hAnsi="Marianne Light"/>
            <w:szCs w:val="20"/>
          </w:rPr>
        </w:pPr>
        <w:r w:rsidRPr="00F12356">
          <w:rPr>
            <w:rStyle w:val="Numrodepage"/>
            <w:rFonts w:ascii="Marianne Light" w:hAnsi="Marianne Light"/>
            <w:szCs w:val="20"/>
          </w:rPr>
          <w:fldChar w:fldCharType="begin"/>
        </w:r>
        <w:r w:rsidRPr="00F12356">
          <w:rPr>
            <w:rStyle w:val="Numrodepage"/>
            <w:rFonts w:ascii="Marianne Light" w:hAnsi="Marianne Light"/>
            <w:szCs w:val="20"/>
          </w:rPr>
          <w:instrText xml:space="preserve"> PAGE </w:instrText>
        </w:r>
        <w:r w:rsidRPr="00F12356">
          <w:rPr>
            <w:rStyle w:val="Numrodepage"/>
            <w:rFonts w:ascii="Marianne Light" w:hAnsi="Marianne Light"/>
            <w:szCs w:val="20"/>
          </w:rPr>
          <w:fldChar w:fldCharType="separate"/>
        </w:r>
        <w:r w:rsidR="003B4E86">
          <w:rPr>
            <w:rStyle w:val="Numrodepage"/>
            <w:rFonts w:ascii="Marianne Light" w:hAnsi="Marianne Light"/>
            <w:noProof/>
            <w:szCs w:val="20"/>
          </w:rPr>
          <w:t>1</w:t>
        </w:r>
        <w:r w:rsidRPr="00F12356">
          <w:rPr>
            <w:rStyle w:val="Numrodepage"/>
            <w:rFonts w:ascii="Marianne Light" w:hAnsi="Marianne Light"/>
            <w:szCs w:val="20"/>
          </w:rPr>
          <w:fldChar w:fldCharType="end"/>
        </w:r>
      </w:p>
    </w:sdtContent>
  </w:sdt>
  <w:p w14:paraId="63DD2F85" w14:textId="77777777" w:rsidR="00A24C99" w:rsidRPr="00F12356" w:rsidRDefault="00A24C99" w:rsidP="00A24C99">
    <w:pPr>
      <w:tabs>
        <w:tab w:val="left" w:pos="5071"/>
      </w:tabs>
      <w:spacing w:before="32" w:after="0" w:line="160" w:lineRule="exact"/>
      <w:ind w:left="244"/>
      <w:rPr>
        <w:rFonts w:ascii="Marianne Light" w:eastAsia="Marianne-Regular" w:hAnsi="Marianne Light" w:cs="Marianne-Regular"/>
        <w:noProof/>
        <w:color w:val="231F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49353" w14:textId="77777777" w:rsidR="00DE40FC" w:rsidRDefault="00DE40FC" w:rsidP="008D09C3">
      <w:pPr>
        <w:spacing w:after="0"/>
      </w:pPr>
      <w:r>
        <w:separator/>
      </w:r>
    </w:p>
  </w:footnote>
  <w:footnote w:type="continuationSeparator" w:id="0">
    <w:p w14:paraId="5FC0E6B1" w14:textId="77777777" w:rsidR="00DE40FC" w:rsidRDefault="00DE40FC" w:rsidP="008D09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FE61" w14:textId="77777777" w:rsidR="00F12356" w:rsidRDefault="003B4E86">
    <w:pPr>
      <w:pStyle w:val="En-tte"/>
    </w:pPr>
    <w:r w:rsidRPr="00F30120"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3F5DB8A7" wp14:editId="0981B750">
          <wp:simplePos x="0" y="0"/>
          <wp:positionH relativeFrom="column">
            <wp:posOffset>4570359</wp:posOffset>
          </wp:positionH>
          <wp:positionV relativeFrom="paragraph">
            <wp:posOffset>-1263015</wp:posOffset>
          </wp:positionV>
          <wp:extent cx="1733550" cy="935990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A-Seul_logoVect-2014-OK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935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0120" w:rsidRPr="00F30120"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506226F8" wp14:editId="607DC6B1">
          <wp:simplePos x="0" y="0"/>
          <wp:positionH relativeFrom="column">
            <wp:posOffset>-18415</wp:posOffset>
          </wp:positionH>
          <wp:positionV relativeFrom="paragraph">
            <wp:posOffset>-1311687</wp:posOffset>
          </wp:positionV>
          <wp:extent cx="1188720" cy="1038225"/>
          <wp:effectExtent l="0" t="0" r="0" b="9525"/>
          <wp:wrapSquare wrapText="bothSides"/>
          <wp:docPr id="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/>
                  <a:srcRect l="4333" t="4333" r="-1" b="12097"/>
                  <a:stretch/>
                </pic:blipFill>
                <pic:spPr bwMode="gray">
                  <a:xfrm>
                    <a:off x="0" y="0"/>
                    <a:ext cx="118872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2134E"/>
    <w:multiLevelType w:val="multilevel"/>
    <w:tmpl w:val="040C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E735363"/>
    <w:multiLevelType w:val="hybridMultilevel"/>
    <w:tmpl w:val="A0E04620"/>
    <w:lvl w:ilvl="0" w:tplc="FD4A963A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ahom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2A1E01"/>
    <w:multiLevelType w:val="hybridMultilevel"/>
    <w:tmpl w:val="47E460C0"/>
    <w:lvl w:ilvl="0" w:tplc="007854F6">
      <w:start w:val="1"/>
      <w:numFmt w:val="bullet"/>
      <w:pStyle w:val="Paragraphede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E164E"/>
    <w:multiLevelType w:val="hybridMultilevel"/>
    <w:tmpl w:val="23D28046"/>
    <w:lvl w:ilvl="0" w:tplc="5B707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33532"/>
    <w:multiLevelType w:val="hybridMultilevel"/>
    <w:tmpl w:val="A4B8D660"/>
    <w:lvl w:ilvl="0" w:tplc="831430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90324"/>
    <w:multiLevelType w:val="multilevel"/>
    <w:tmpl w:val="7AC08276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C97"/>
    <w:rsid w:val="00056A41"/>
    <w:rsid w:val="000965F8"/>
    <w:rsid w:val="000A02AC"/>
    <w:rsid w:val="0011763A"/>
    <w:rsid w:val="002D1787"/>
    <w:rsid w:val="00317AED"/>
    <w:rsid w:val="0037460F"/>
    <w:rsid w:val="00381AA9"/>
    <w:rsid w:val="003B4E86"/>
    <w:rsid w:val="004A64DF"/>
    <w:rsid w:val="00512219"/>
    <w:rsid w:val="005624C9"/>
    <w:rsid w:val="00575DBC"/>
    <w:rsid w:val="0065317B"/>
    <w:rsid w:val="00673211"/>
    <w:rsid w:val="00686FFD"/>
    <w:rsid w:val="006877F4"/>
    <w:rsid w:val="00687958"/>
    <w:rsid w:val="007C17B1"/>
    <w:rsid w:val="00843CC2"/>
    <w:rsid w:val="008867B4"/>
    <w:rsid w:val="008A7E6A"/>
    <w:rsid w:val="008D09C3"/>
    <w:rsid w:val="008D570F"/>
    <w:rsid w:val="008F23CC"/>
    <w:rsid w:val="009B5A33"/>
    <w:rsid w:val="00A207D9"/>
    <w:rsid w:val="00A24C99"/>
    <w:rsid w:val="00A80526"/>
    <w:rsid w:val="00AF5238"/>
    <w:rsid w:val="00C46C97"/>
    <w:rsid w:val="00CA52E3"/>
    <w:rsid w:val="00D448D4"/>
    <w:rsid w:val="00DE40FC"/>
    <w:rsid w:val="00DF6932"/>
    <w:rsid w:val="00E57EBF"/>
    <w:rsid w:val="00E63007"/>
    <w:rsid w:val="00E8252E"/>
    <w:rsid w:val="00E8741C"/>
    <w:rsid w:val="00F12356"/>
    <w:rsid w:val="00F30120"/>
    <w:rsid w:val="00F51CE4"/>
    <w:rsid w:val="00F57B95"/>
    <w:rsid w:val="00F80603"/>
    <w:rsid w:val="00F86DCC"/>
    <w:rsid w:val="00F928C9"/>
    <w:rsid w:val="00FB5E18"/>
    <w:rsid w:val="00FD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AC8EE"/>
  <w15:docId w15:val="{1063EA8D-2C1A-8542-9651-EE21CB67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FFD"/>
    <w:pPr>
      <w:spacing w:after="120" w:line="240" w:lineRule="auto"/>
      <w:jc w:val="both"/>
    </w:pPr>
    <w:rPr>
      <w:rFonts w:ascii="Marianne" w:hAnsi="Marianne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686FFD"/>
    <w:pPr>
      <w:keepNext/>
      <w:keepLines/>
      <w:numPr>
        <w:numId w:val="2"/>
      </w:numPr>
      <w:spacing w:before="240" w:after="0"/>
      <w:jc w:val="left"/>
      <w:outlineLvl w:val="0"/>
    </w:pPr>
    <w:rPr>
      <w:rFonts w:eastAsia="Times New Roman" w:cstheme="majorBidi"/>
      <w:color w:val="365F91" w:themeColor="accent1" w:themeShade="BF"/>
      <w:sz w:val="32"/>
      <w:szCs w:val="32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86FFD"/>
    <w:pPr>
      <w:keepNext/>
      <w:keepLines/>
      <w:numPr>
        <w:ilvl w:val="1"/>
        <w:numId w:val="2"/>
      </w:numPr>
      <w:spacing w:before="40" w:after="0"/>
      <w:jc w:val="left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6FFD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6FFD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6FFD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6FFD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6FFD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6FFD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6FFD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D09C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8D09C3"/>
  </w:style>
  <w:style w:type="paragraph" w:styleId="Pieddepage">
    <w:name w:val="footer"/>
    <w:basedOn w:val="Normal"/>
    <w:link w:val="PieddepageCar"/>
    <w:uiPriority w:val="99"/>
    <w:unhideWhenUsed/>
    <w:rsid w:val="008D09C3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8D09C3"/>
  </w:style>
  <w:style w:type="character" w:styleId="Numrodepage">
    <w:name w:val="page number"/>
    <w:basedOn w:val="Policepardfaut"/>
    <w:uiPriority w:val="99"/>
    <w:semiHidden/>
    <w:unhideWhenUsed/>
    <w:rsid w:val="008D09C3"/>
  </w:style>
  <w:style w:type="table" w:styleId="Grilledutableau">
    <w:name w:val="Table Grid"/>
    <w:basedOn w:val="TableauNormal"/>
    <w:uiPriority w:val="59"/>
    <w:rsid w:val="000A0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686FFD"/>
    <w:rPr>
      <w:rFonts w:ascii="Marianne" w:eastAsia="Times New Roman" w:hAnsi="Marianne" w:cstheme="majorBidi"/>
      <w:color w:val="365F91" w:themeColor="accent1" w:themeShade="BF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686FFD"/>
    <w:rPr>
      <w:rFonts w:ascii="Marianne" w:eastAsiaTheme="majorEastAsia" w:hAnsi="Marianne" w:cstheme="majorBidi"/>
      <w:color w:val="365F91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686FFD"/>
    <w:pPr>
      <w:numPr>
        <w:numId w:val="1"/>
      </w:numPr>
      <w:contextualSpacing/>
    </w:pPr>
    <w:rPr>
      <w:rFonts w:eastAsia="Times New Roman" w:cs="Times New Roman"/>
      <w:bCs/>
      <w:color w:val="000000"/>
      <w:szCs w:val="20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686F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686FFD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686FFD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686FFD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686FFD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86F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686F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ienhypertexte">
    <w:name w:val="Hyperlink"/>
    <w:basedOn w:val="Policepardfaut"/>
    <w:uiPriority w:val="99"/>
    <w:unhideWhenUsed/>
    <w:rsid w:val="00F51CE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D5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vialard@institucancer.fr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ancer.fr/Media/documents/professionnels-de-sante/dsrc-2026-2029/dsrc-dossier-de-demande-de-prolongation-de-labellisatio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duviard@institutcancer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</Pages>
  <Words>516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Prod002</dc:creator>
  <cp:lastModifiedBy>CAPUANO Alexandra</cp:lastModifiedBy>
  <cp:revision>12</cp:revision>
  <dcterms:created xsi:type="dcterms:W3CDTF">2026-07-07T07:49:00Z</dcterms:created>
  <dcterms:modified xsi:type="dcterms:W3CDTF">2026-10-26T09:16:00Z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